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720"/>
        </w:tabs>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Bucaramanga, </w:t>
      </w:r>
    </w:p>
    <w:p w:rsidR="00000000" w:rsidDel="00000000" w:rsidP="00000000" w:rsidRDefault="00000000" w:rsidRPr="00000000" w14:paraId="00000002">
      <w:pPr>
        <w:tabs>
          <w:tab w:val="left" w:leader="none" w:pos="-720"/>
        </w:tabs>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3">
      <w:pPr>
        <w:tabs>
          <w:tab w:val="left" w:leader="none" w:pos="-720"/>
        </w:tabs>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Señor</w:t>
      </w:r>
    </w:p>
    <w:p w:rsidR="00000000" w:rsidDel="00000000" w:rsidP="00000000" w:rsidRDefault="00000000" w:rsidRPr="00000000" w14:paraId="00000004">
      <w:pPr>
        <w:tabs>
          <w:tab w:val="left" w:leader="none" w:pos="-720"/>
        </w:tabs>
        <w:spacing w:line="276"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PEDRO EMILIO TAMI </w:t>
      </w:r>
      <w:r w:rsidDel="00000000" w:rsidR="00000000" w:rsidRPr="00000000">
        <w:rPr>
          <w:rFonts w:ascii="Arial" w:cs="Arial" w:eastAsia="Arial" w:hAnsi="Arial"/>
          <w:b w:val="1"/>
          <w:bCs w:val="1"/>
          <w:sz w:val="22"/>
          <w:szCs w:val="22"/>
          <w:rtl w:val="0"/>
        </w:rPr>
        <w:t xml:space="preserve">SOLANO</w:t>
      </w:r>
      <w:r w:rsidDel="00000000" w:rsidR="00000000" w:rsidRPr="00000000">
        <w:rPr>
          <w:rtl w:val="0"/>
        </w:rPr>
      </w:r>
    </w:p>
    <w:p w:rsidR="00000000" w:rsidDel="00000000" w:rsidP="00000000" w:rsidRDefault="00000000" w:rsidRPr="00000000" w14:paraId="00000005">
      <w:pPr>
        <w:tabs>
          <w:tab w:val="left" w:leader="none" w:pos="-720"/>
        </w:tabs>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Correo electrónico: </w:t>
      </w:r>
      <w:hyperlink r:id="rId7">
        <w:r w:rsidDel="00000000" w:rsidR="00000000" w:rsidRPr="00000000">
          <w:rPr>
            <w:rFonts w:ascii="Arial" w:cs="Arial" w:eastAsia="Arial" w:hAnsi="Arial"/>
            <w:color w:val="0000ff"/>
            <w:sz w:val="22"/>
            <w:szCs w:val="22"/>
            <w:u w:val="single"/>
            <w:rtl w:val="0"/>
          </w:rPr>
          <w:t xml:space="preserve">pedroemiliotami2@gmail.com</w:t>
        </w:r>
      </w:hyperlink>
      <w:r w:rsidDel="00000000" w:rsidR="00000000" w:rsidRPr="00000000">
        <w:rPr>
          <w:rtl w:val="0"/>
        </w:rPr>
        <w:t xml:space="preserve"> </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06">
      <w:pPr>
        <w:tabs>
          <w:tab w:val="left" w:leader="none" w:pos="-720"/>
        </w:tabs>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Ciudad </w:t>
      </w:r>
    </w:p>
    <w:p w:rsidR="00000000" w:rsidDel="00000000" w:rsidP="00000000" w:rsidRDefault="00000000" w:rsidRPr="00000000" w14:paraId="00000007">
      <w:pPr>
        <w:tabs>
          <w:tab w:val="left" w:leader="none" w:pos="-720"/>
        </w:tabs>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8">
      <w:pPr>
        <w:tabs>
          <w:tab w:val="left" w:leader="none" w:pos="-720"/>
        </w:tabs>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Asunto. Respuesta a comunicación recibida con radicado CDMB No. 9871 del día 11 de mayo de 2026 respecto a la suspensión y/o terminación anticipada del procedimiento sancionatorio ambiental. </w:t>
      </w:r>
    </w:p>
    <w:p w:rsidR="00000000" w:rsidDel="00000000" w:rsidP="00000000" w:rsidRDefault="00000000" w:rsidRPr="00000000" w14:paraId="00000009">
      <w:pPr>
        <w:tabs>
          <w:tab w:val="left" w:leader="none" w:pos="-720"/>
        </w:tabs>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A">
      <w:pPr>
        <w:tabs>
          <w:tab w:val="left" w:leader="none" w:pos="-720"/>
        </w:tabs>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Cordial saludo, </w:t>
      </w:r>
    </w:p>
    <w:p w:rsidR="00000000" w:rsidDel="00000000" w:rsidP="00000000" w:rsidRDefault="00000000" w:rsidRPr="00000000" w14:paraId="0000000B">
      <w:pPr>
        <w:tabs>
          <w:tab w:val="left" w:leader="none" w:pos="-720"/>
        </w:tabs>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C">
      <w:pPr>
        <w:tabs>
          <w:tab w:val="left" w:leader="none" w:pos="-720"/>
        </w:tabs>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Por medio de la presente comunicación y de conformidad a las manifestaciones realizadas en el oficio del asunto, una vez revisada las mismas se evidencia que su solicitud se encuentra incompleta por las siguientes razones: </w:t>
      </w:r>
    </w:p>
    <w:p w:rsidR="00000000" w:rsidDel="00000000" w:rsidP="00000000" w:rsidRDefault="00000000" w:rsidRPr="00000000" w14:paraId="0000000D">
      <w:pPr>
        <w:tabs>
          <w:tab w:val="left" w:leader="none" w:pos="-720"/>
        </w:tabs>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E">
      <w:pPr>
        <w:tabs>
          <w:tab w:val="left" w:leader="none" w:pos="-720"/>
        </w:tabs>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 Si bien es cierto indica con precisión cual es la medida compensatoria de implementación de actividades de restauración forestal, el mismo no se encuentra avalado técnicamente, pues no es suscrito por ningún profesional forestal que así lo acredite. </w:t>
      </w:r>
    </w:p>
    <w:p w:rsidR="00000000" w:rsidDel="00000000" w:rsidP="00000000" w:rsidRDefault="00000000" w:rsidRPr="00000000" w14:paraId="0000000F">
      <w:pPr>
        <w:tabs>
          <w:tab w:val="left" w:leader="none" w:pos="-720"/>
        </w:tabs>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0">
      <w:pPr>
        <w:tabs>
          <w:tab w:val="left" w:leader="none" w:pos="-720"/>
        </w:tabs>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 No indica el valor pecuniario estimado para el desarrollo efectivo del plan de compensación, siendo imprescindible para posteriormente poder suscribir la garantía de cumplimiento exigida en el artículo 18A de la Ley 1333 de 2009 modificada a su vez por la Ley 2387 de 2024. </w:t>
      </w:r>
    </w:p>
    <w:p w:rsidR="00000000" w:rsidDel="00000000" w:rsidP="00000000" w:rsidRDefault="00000000" w:rsidRPr="00000000" w14:paraId="00000011">
      <w:pPr>
        <w:tabs>
          <w:tab w:val="left" w:leader="none" w:pos="-720"/>
        </w:tabs>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2">
      <w:pPr>
        <w:tabs>
          <w:tab w:val="left" w:leader="none" w:pos="-720"/>
        </w:tabs>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Bajo esa línea argumentativa, es menester que subsane las anteriores falencias con el fin de dar el respectivo trámite establecido en la legislación vigente, para lo cual se otorgará el plazo máximo de un (01) mes, en virtud de lo dispuesto en el artículo 17 de la Ley Estatutaria 1755 de 2015, so pena de declarar el desistimiento tácito de la solicitud.  </w:t>
      </w:r>
    </w:p>
    <w:p w:rsidR="00000000" w:rsidDel="00000000" w:rsidP="00000000" w:rsidRDefault="00000000" w:rsidRPr="00000000" w14:paraId="00000013">
      <w:pPr>
        <w:tabs>
          <w:tab w:val="left" w:leader="none" w:pos="-720"/>
        </w:tabs>
        <w:spacing w:line="276" w:lineRule="auto"/>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14">
      <w:pPr>
        <w:tabs>
          <w:tab w:val="left" w:leader="none" w:pos="-720"/>
        </w:tabs>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Sin otro particular, </w:t>
      </w:r>
    </w:p>
    <w:p w:rsidR="00000000" w:rsidDel="00000000" w:rsidP="00000000" w:rsidRDefault="00000000" w:rsidRPr="00000000" w14:paraId="00000015">
      <w:pPr>
        <w:tabs>
          <w:tab w:val="left" w:leader="none" w:pos="-720"/>
        </w:tabs>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6">
      <w:pPr>
        <w:tabs>
          <w:tab w:val="left" w:leader="none" w:pos="-720"/>
        </w:tabs>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7">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18">
      <w:pPr>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LUIS ALBERTO FLÓREZ CHACÓN</w:t>
      </w:r>
    </w:p>
    <w:p w:rsidR="00000000" w:rsidDel="00000000" w:rsidP="00000000" w:rsidRDefault="00000000" w:rsidRPr="00000000" w14:paraId="00000019">
      <w:pPr>
        <w:rPr>
          <w:rFonts w:ascii="Arial" w:cs="Arial" w:eastAsia="Arial" w:hAnsi="Arial"/>
          <w:sz w:val="22"/>
          <w:szCs w:val="22"/>
        </w:rPr>
      </w:pPr>
      <w:r w:rsidDel="00000000" w:rsidR="00000000" w:rsidRPr="00000000">
        <w:rPr>
          <w:rFonts w:ascii="Arial" w:cs="Arial" w:eastAsia="Arial" w:hAnsi="Arial"/>
          <w:sz w:val="22"/>
          <w:szCs w:val="22"/>
          <w:rtl w:val="0"/>
        </w:rPr>
        <w:t xml:space="preserve">Secretario General</w:t>
      </w:r>
    </w:p>
    <w:p w:rsidR="00000000" w:rsidDel="00000000" w:rsidP="00000000" w:rsidRDefault="00000000" w:rsidRPr="00000000" w14:paraId="0000001A">
      <w:pPr>
        <w:rPr>
          <w:rFonts w:ascii="Arial" w:cs="Arial" w:eastAsia="Arial" w:hAnsi="Arial"/>
          <w:sz w:val="22"/>
          <w:szCs w:val="22"/>
        </w:rPr>
      </w:pPr>
      <w:r w:rsidDel="00000000" w:rsidR="00000000" w:rsidRPr="00000000">
        <w:rPr>
          <w:rtl w:val="0"/>
        </w:rPr>
      </w:r>
    </w:p>
    <w:tbl>
      <w:tblPr>
        <w:tblStyle w:val="Table1"/>
        <w:tblpPr w:leftFromText="141" w:rightFromText="141" w:topFromText="0" w:bottomFromText="200" w:vertAnchor="text" w:horzAnchor="text" w:tblpX="0" w:tblpY="58"/>
        <w:tblW w:w="904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16"/>
        <w:gridCol w:w="3616"/>
        <w:gridCol w:w="2488"/>
        <w:gridCol w:w="1025"/>
        <w:tblGridChange w:id="0">
          <w:tblGrid>
            <w:gridCol w:w="1916"/>
            <w:gridCol w:w="3616"/>
            <w:gridCol w:w="2488"/>
            <w:gridCol w:w="1025"/>
          </w:tblGrid>
        </w:tblGridChange>
      </w:tblGrid>
      <w:tr>
        <w:trPr>
          <w:cantSplit w:val="0"/>
          <w:trHeight w:val="319"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B">
            <w:pPr>
              <w:rPr>
                <w:rFonts w:ascii="Arial" w:cs="Arial" w:eastAsia="Arial" w:hAnsi="Arial"/>
                <w:sz w:val="16"/>
                <w:szCs w:val="16"/>
              </w:rPr>
            </w:pPr>
            <w:bookmarkStart w:colFirst="0" w:colLast="0" w:name="_heading=h.t1spcjjloi9e" w:id="0"/>
            <w:bookmarkEnd w:id="0"/>
            <w:r w:rsidDel="00000000" w:rsidR="00000000" w:rsidRPr="00000000">
              <w:rPr>
                <w:rFonts w:ascii="Arial" w:cs="Arial" w:eastAsia="Arial" w:hAnsi="Arial"/>
                <w:sz w:val="16"/>
                <w:szCs w:val="16"/>
                <w:rtl w:val="0"/>
              </w:rPr>
              <w:t xml:space="preserve">Proyectó:</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C">
            <w:pPr>
              <w:rPr>
                <w:rFonts w:ascii="Arial" w:cs="Arial" w:eastAsia="Arial" w:hAnsi="Arial"/>
                <w:sz w:val="16"/>
                <w:szCs w:val="16"/>
              </w:rPr>
            </w:pPr>
            <w:r w:rsidDel="00000000" w:rsidR="00000000" w:rsidRPr="00000000">
              <w:rPr>
                <w:rFonts w:ascii="Arial" w:cs="Arial" w:eastAsia="Arial" w:hAnsi="Arial"/>
                <w:sz w:val="16"/>
                <w:szCs w:val="16"/>
                <w:rtl w:val="0"/>
              </w:rPr>
              <w:t xml:space="preserve">Diego Fernando Gómez Silva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D">
            <w:pPr>
              <w:rPr>
                <w:rFonts w:ascii="Arial" w:cs="Arial" w:eastAsia="Arial" w:hAnsi="Arial"/>
                <w:sz w:val="16"/>
                <w:szCs w:val="16"/>
              </w:rPr>
            </w:pPr>
            <w:r w:rsidDel="00000000" w:rsidR="00000000" w:rsidRPr="00000000">
              <w:rPr>
                <w:rFonts w:ascii="Arial" w:cs="Arial" w:eastAsia="Arial" w:hAnsi="Arial"/>
                <w:sz w:val="16"/>
                <w:szCs w:val="16"/>
                <w:rtl w:val="0"/>
              </w:rPr>
              <w:t xml:space="preserve">Abogado Contratista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E">
            <w:pPr>
              <w:rPr>
                <w:rFonts w:ascii="Arial" w:cs="Arial" w:eastAsia="Arial" w:hAnsi="Arial"/>
                <w:sz w:val="16"/>
                <w:szCs w:val="16"/>
              </w:rPr>
            </w:pPr>
            <w:r w:rsidDel="00000000" w:rsidR="00000000" w:rsidRPr="00000000">
              <w:rPr>
                <w:rtl w:val="0"/>
              </w:rPr>
            </w:r>
          </w:p>
        </w:tc>
      </w:tr>
      <w:tr>
        <w:trPr>
          <w:cantSplit w:val="0"/>
          <w:trHeight w:val="319"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F">
            <w:pPr>
              <w:rPr>
                <w:rFonts w:ascii="Arial" w:cs="Arial" w:eastAsia="Arial" w:hAnsi="Arial"/>
                <w:sz w:val="16"/>
                <w:szCs w:val="16"/>
              </w:rPr>
            </w:pPr>
            <w:r w:rsidDel="00000000" w:rsidR="00000000" w:rsidRPr="00000000">
              <w:rPr>
                <w:rFonts w:ascii="Arial" w:cs="Arial" w:eastAsia="Arial" w:hAnsi="Arial"/>
                <w:sz w:val="16"/>
                <w:szCs w:val="16"/>
                <w:rtl w:val="0"/>
              </w:rPr>
              <w:t xml:space="preserve">Revisó:</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0">
            <w:pPr>
              <w:rPr>
                <w:rFonts w:ascii="Arial" w:cs="Arial" w:eastAsia="Arial" w:hAnsi="Arial"/>
                <w:sz w:val="16"/>
                <w:szCs w:val="16"/>
              </w:rPr>
            </w:pPr>
            <w:r w:rsidDel="00000000" w:rsidR="00000000" w:rsidRPr="00000000">
              <w:rPr>
                <w:rFonts w:ascii="Arial" w:cs="Arial" w:eastAsia="Arial" w:hAnsi="Arial"/>
                <w:sz w:val="16"/>
                <w:szCs w:val="16"/>
                <w:rtl w:val="0"/>
              </w:rPr>
              <w:t xml:space="preserve">María Catalina Hernández Pinzón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1">
            <w:pPr>
              <w:rPr>
                <w:rFonts w:ascii="Arial" w:cs="Arial" w:eastAsia="Arial" w:hAnsi="Arial"/>
                <w:sz w:val="16"/>
                <w:szCs w:val="16"/>
              </w:rPr>
            </w:pPr>
            <w:r w:rsidDel="00000000" w:rsidR="00000000" w:rsidRPr="00000000">
              <w:rPr>
                <w:rFonts w:ascii="Arial" w:cs="Arial" w:eastAsia="Arial" w:hAnsi="Arial"/>
                <w:sz w:val="16"/>
                <w:szCs w:val="16"/>
                <w:rtl w:val="0"/>
              </w:rPr>
              <w:t xml:space="preserve">Coordinadora Grupo Defensa Jurídica Integral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2">
            <w:pPr>
              <w:rPr>
                <w:rFonts w:ascii="Arial" w:cs="Arial" w:eastAsia="Arial" w:hAnsi="Arial"/>
                <w:sz w:val="16"/>
                <w:szCs w:val="16"/>
              </w:rPr>
            </w:pPr>
            <w:r w:rsidDel="00000000" w:rsidR="00000000" w:rsidRPr="00000000">
              <w:rPr>
                <w:rtl w:val="0"/>
              </w:rPr>
            </w:r>
          </w:p>
        </w:tc>
      </w:tr>
      <w:tr>
        <w:trPr>
          <w:cantSplit w:val="0"/>
          <w:trHeight w:val="17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3">
            <w:pPr>
              <w:rPr>
                <w:rFonts w:ascii="Arial" w:cs="Arial" w:eastAsia="Arial" w:hAnsi="Arial"/>
                <w:sz w:val="16"/>
                <w:szCs w:val="16"/>
              </w:rPr>
            </w:pPr>
            <w:r w:rsidDel="00000000" w:rsidR="00000000" w:rsidRPr="00000000">
              <w:rPr>
                <w:rFonts w:ascii="Arial" w:cs="Arial" w:eastAsia="Arial" w:hAnsi="Arial"/>
                <w:sz w:val="16"/>
                <w:szCs w:val="16"/>
                <w:rtl w:val="0"/>
              </w:rPr>
              <w:t xml:space="preserve">Oficina Responsable:</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4">
            <w:pPr>
              <w:rPr>
                <w:rFonts w:ascii="Arial" w:cs="Arial" w:eastAsia="Arial" w:hAnsi="Arial"/>
                <w:sz w:val="16"/>
                <w:szCs w:val="16"/>
              </w:rPr>
            </w:pPr>
            <w:r w:rsidDel="00000000" w:rsidR="00000000" w:rsidRPr="00000000">
              <w:rPr>
                <w:rFonts w:ascii="Arial" w:cs="Arial" w:eastAsia="Arial" w:hAnsi="Arial"/>
                <w:sz w:val="16"/>
                <w:szCs w:val="16"/>
                <w:rtl w:val="0"/>
              </w:rPr>
              <w:t xml:space="preserve">Secretaría General / Grupo Defensa Jurídica Integral</w:t>
            </w:r>
          </w:p>
        </w:tc>
      </w:tr>
    </w:tbl>
    <w:p w:rsidR="00000000" w:rsidDel="00000000" w:rsidP="00000000" w:rsidRDefault="00000000" w:rsidRPr="00000000" w14:paraId="00000027">
      <w:pPr>
        <w:rPr>
          <w:b w:val="1"/>
          <w:bCs w:val="1"/>
          <w:sz w:val="22"/>
          <w:szCs w:val="22"/>
        </w:rPr>
      </w:pPr>
      <w:r w:rsidDel="00000000" w:rsidR="00000000" w:rsidRPr="00000000">
        <w:rPr>
          <w:rtl w:val="0"/>
        </w:rPr>
      </w:r>
    </w:p>
    <w:sectPr>
      <w:footerReference r:id="rId8" w:type="default"/>
      <w:pgSz w:h="18720" w:w="12240" w:orient="portrait"/>
      <w:pgMar w:bottom="2098" w:top="3005" w:left="1701" w:right="1701" w:header="709" w:footer="873"/>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419"/>
        <w:tab w:val="right" w:leader="none" w:pos="8838"/>
      </w:tabs>
      <w:rPr>
        <w:rFonts w:ascii="Arial" w:cs="Arial" w:eastAsia="Arial" w:hAnsi="Arial"/>
        <w:color w:val="000000"/>
      </w:rPr>
    </w:pPr>
    <w:r w:rsidDel="00000000" w:rsidR="00000000" w:rsidRPr="00000000">
      <w:rPr>
        <w:rFonts w:ascii="Arial" w:cs="Arial" w:eastAsia="Arial" w:hAnsi="Arial"/>
        <w:color w:val="000000"/>
        <w:rtl w:val="0"/>
      </w:rPr>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419"/>
        <w:tab w:val="right" w:leader="none" w:pos="8838"/>
      </w:tabs>
      <w:rPr>
        <w:rFonts w:ascii="Arial" w:cs="Arial" w:eastAsia="Arial" w:hAnsi="Arial"/>
        <w:color w:val="000000"/>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i w:val="1"/>
      <w:iCs w:val="1"/>
      <w:sz w:val="28"/>
      <w:szCs w:val="28"/>
    </w:rPr>
  </w:style>
  <w:style w:type="paragraph" w:styleId="Heading2">
    <w:name w:val="heading 2"/>
    <w:basedOn w:val="Normal"/>
    <w:next w:val="Normal"/>
    <w:pPr>
      <w:keepNext w:val="1"/>
      <w:keepLines w:val="1"/>
      <w:spacing w:before="200" w:lineRule="auto"/>
    </w:pPr>
    <w:rPr>
      <w:rFonts w:ascii="Cambria" w:cs="Cambria" w:eastAsia="Cambria" w:hAnsi="Cambria"/>
      <w:b w:val="1"/>
      <w:bCs w:val="1"/>
      <w:color w:val="4f81bd"/>
      <w:sz w:val="26"/>
      <w:szCs w:val="26"/>
    </w:rPr>
  </w:style>
  <w:style w:type="paragraph" w:styleId="Heading3">
    <w:name w:val="heading 3"/>
    <w:basedOn w:val="Normal"/>
    <w:next w:val="Normal"/>
    <w:pPr>
      <w:keepNext w:val="1"/>
      <w:keepLines w:val="1"/>
      <w:spacing w:before="40" w:lineRule="auto"/>
    </w:pPr>
    <w:rPr>
      <w:rFonts w:ascii="Cambria" w:cs="Cambria" w:eastAsia="Cambria" w:hAnsi="Cambria"/>
      <w:color w:val="243f61"/>
    </w:rPr>
  </w:style>
  <w:style w:type="paragraph" w:styleId="Heading4">
    <w:name w:val="heading 4"/>
    <w:basedOn w:val="Normal"/>
    <w:next w:val="Normal"/>
    <w:pPr>
      <w:keepNext w:val="1"/>
      <w:keepLines w:val="1"/>
      <w:spacing w:before="40" w:lineRule="auto"/>
    </w:pPr>
    <w:rPr>
      <w:rFonts w:ascii="Cambria" w:cs="Cambria" w:eastAsia="Cambria" w:hAnsi="Cambria"/>
      <w:i w:val="1"/>
      <w:iCs w:val="1"/>
      <w:color w:val="366091"/>
    </w:rPr>
  </w:style>
  <w:style w:type="paragraph" w:styleId="Heading5">
    <w:name w:val="heading 5"/>
    <w:basedOn w:val="Normal"/>
    <w:next w:val="Normal"/>
    <w:pPr>
      <w:keepNext w:val="1"/>
      <w:widowControl w:val="0"/>
      <w:tabs>
        <w:tab w:val="center" w:leader="none" w:pos="4680"/>
      </w:tabs>
      <w:jc w:val="center"/>
    </w:pPr>
    <w:rPr>
      <w:i w:val="1"/>
      <w:iCs w:val="1"/>
      <w:sz w:val="28"/>
      <w:szCs w:val="28"/>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jc w:val="center"/>
    </w:pPr>
    <w:rPr>
      <w:b w:val="1"/>
      <w:bCs w:val="1"/>
      <w:i w:val="1"/>
      <w:iCs w:val="1"/>
      <w:sz w:val="28"/>
      <w:szCs w:val="28"/>
    </w:rPr>
  </w:style>
  <w:style w:type="paragraph" w:styleId="Subtitle">
    <w:name w:val="Subtitle"/>
    <w:basedOn w:val="Normal"/>
    <w:next w:val="Normal"/>
    <w:pPr>
      <w:spacing w:after="160" w:lineRule="auto"/>
    </w:pPr>
    <w:rPr>
      <w:rFonts w:ascii="Calibri" w:cs="Calibri" w:eastAsia="Calibri" w:hAnsi="Calibri"/>
      <w:color w:val="5a5a5a"/>
      <w:sz w:val="22"/>
      <w:szCs w:val="22"/>
    </w:rPr>
  </w:style>
  <w:style w:type="table" w:styleId="Table1">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pedroemiliotami2@gmail.com" TargetMode="Externa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EHoh/COw3tEv5S4cYe/34udRyw==">CgMxLjAyDmgudDFzcGNqamxvaTllOAByITFyU1FPa3c4YW5DNVJHYkRMZzJ5QXRlYjJUU2NnaXctUA==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